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877</w:t>
      </w:r>
      <w:r>
        <w:rPr>
          <w:rFonts w:ascii="Times New Roman" w:eastAsia="Times New Roman" w:hAnsi="Times New Roman" w:cs="Times New Roman"/>
          <w:sz w:val="27"/>
          <w:szCs w:val="27"/>
        </w:rPr>
        <w:t>-2603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29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Кузнецова Константина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>, родивше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3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информационных ресурсов Инспекции, а также журналу регистрации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налогоплательщика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6 месяцев 2023 года не поступал. Установленный законодательством о налогах и сборах срок предоставления расчета по страховым взносам за 6 месяцев 2023 года – не позднее 25.07.2023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Кузнецова К.А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31123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29.03.2024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26.07.2023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20.02.2024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26.02.2024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29.02.2024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виновность Кузнецова К.А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полностью доказанной. Его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30.05.2023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Кузнецову К.А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Кузнецова Константина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(трехсот)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3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0412365400585008772415116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1222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6774-3F60-45F5-93A7-34BBDAF46A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